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t>Zał. nr 1 do Zarządzenia nr 45/2012 Burmistrza Pieniężna z 18.07.2012 r.</w:t>
      </w: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46BC2" w:rsidTr="00F64927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Szkolna 10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Nr EL 1B /00013262 /8</w:t>
            </w:r>
          </w:p>
        </w:tc>
      </w:tr>
      <w:tr w:rsidR="00A46BC2" w:rsidTr="00F64927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295/6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252/1000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B56834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0,0959 ha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E42C13" w:rsidRDefault="00A46BC2" w:rsidP="00F64927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 budynkiem mieszkalnym, pięciorodzinnym w zabudowie wolnostojącej. Obiekt dwukondygnacyjnym, </w:t>
            </w:r>
            <w:proofErr w:type="spellStart"/>
            <w:r>
              <w:rPr>
                <w:b/>
                <w:bCs/>
                <w:sz w:val="22"/>
                <w:szCs w:val="22"/>
              </w:rPr>
              <w:t>jednoklatkowy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z częściowo użytkowym poddaszem, częściowo podpiwniczony. Wybudowany metodą tradycyjną w okresie międzywojennym. Lokal mieszkalny nr 2 o powierzchni użytkowej 53,35m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położony jest na 1 piętrze budynku. Do lokalu przynależy piwnica o powierzchni 8,57m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62.360,00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3.910,00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58.450,00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sierpnia 2012r.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grudnia 2012r.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czerwca 2013 r. 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270,60</w:t>
            </w:r>
          </w:p>
        </w:tc>
      </w:tr>
    </w:tbl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t>Zał. nr 2 do Zarządzenia nr 45/2012 Burmistrza Pieniężna z 18.07.2012 r.</w:t>
      </w: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46BC2" w:rsidTr="00F64927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Kościuszki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Nr EL 1B /00013303 /8</w:t>
            </w:r>
          </w:p>
        </w:tc>
      </w:tr>
      <w:tr w:rsidR="00A46BC2" w:rsidTr="00F64927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11/25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0,0025 ha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7C5B07" w:rsidRDefault="00A46BC2" w:rsidP="00F64927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 budynkiem garażowym w zabudowie szeregowej. Obiekt parterowy z dachem płaskim jednospadowym, składający się z jednego pomieszczenia o powierzchni użytkowej 15.70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5.150,00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1.250,00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Lokalu 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3.900,00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ograniczony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sierpnia 2012r.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czerwca 2013r. 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246,00</w:t>
            </w:r>
          </w:p>
        </w:tc>
      </w:tr>
    </w:tbl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Zał. nr 3 do Zarządzenia nr 45/2012 Burmistrza Pieniężna z 18.07.2012 r.</w:t>
      </w: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46BC2" w:rsidTr="00F64927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Lechowo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Lechowo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kolonia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Nr EL 1B /00022443 /7</w:t>
            </w:r>
          </w:p>
        </w:tc>
      </w:tr>
      <w:tr w:rsidR="00A46BC2" w:rsidTr="00F64927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149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0,9900 ha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7C5B07" w:rsidRDefault="00A46BC2" w:rsidP="00F64927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 budynkiem gospodarczym o funkcji garażowo-warsztatowej. Jest to obiekt parterowy, bez podpiwniczenia i z płaskim dachem.  Powierzchnia użytkowa wynosi 315,55m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22.910,00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gruntu 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16.910,00 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budynku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6.000,00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 w drodze przetargu nieograniczonego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sierpnia 2012r.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czerwca 2013 r. 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369,00</w:t>
            </w:r>
          </w:p>
        </w:tc>
      </w:tr>
    </w:tbl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Zał. nr 4 do Zarządzenia nr 45/2012 Burmistrza Pieniężna z 18.07.2012 r.</w:t>
      </w:r>
    </w:p>
    <w:p w:rsidR="00A46BC2" w:rsidRDefault="00A46BC2" w:rsidP="00A46BC2">
      <w:pPr>
        <w:ind w:left="4963"/>
        <w:jc w:val="both"/>
        <w:rPr>
          <w:b/>
          <w:bCs/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b/>
          <w:bCs/>
          <w:sz w:val="24"/>
          <w:szCs w:val="24"/>
        </w:rPr>
      </w:pPr>
    </w:p>
    <w:tbl>
      <w:tblPr>
        <w:tblW w:w="914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46BC2" w:rsidTr="00F64927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Kościuszki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Nr EL 1B /00013301 /4</w:t>
            </w:r>
          </w:p>
        </w:tc>
      </w:tr>
      <w:tr w:rsidR="00A46BC2" w:rsidTr="00F64927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22/2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F736CD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0,1016 ha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F736CD" w:rsidRDefault="00A46BC2" w:rsidP="00F64927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 budynkami gospodarczymi. Budynek gospodarczy nr 1 jest parterowy, w części z dachem wysokim dwuspadowym, a w części z płaskim dachem jednospadowym, bez podpiwniczenia. Powierzchnia użytkowa tego budynku wynosi 72,61m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>. budynek gospodarczy nr 2 jest to obiekt w zabudowie zwartej z budynkiem nr1 stanowi przybudówkę do ściany podłużnej. Budynek nr 2 jest parterowy z dachem jednospadowym, bez podpiwniczenia. Powierzchnia użytkowa 17,04m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12.150,00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4.140,00 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budynki 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8.010,00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ograniczony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sierpnia 2012r.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czerwca 2013 r. 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369,00</w:t>
            </w:r>
          </w:p>
        </w:tc>
      </w:tr>
    </w:tbl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Zał. nr 5 do Zarządzenia nr 45/2012 Burmistrza Pieniężna z 18.07.2012 r.</w:t>
      </w: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46BC2" w:rsidTr="00F64927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Bornity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Bornity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 /00029851 /9</w:t>
            </w:r>
          </w:p>
        </w:tc>
      </w:tr>
      <w:tr w:rsidR="00A46BC2" w:rsidTr="00F64927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47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071AB4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0,1400ha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071AB4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gruntowa niezabudowana,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położona na terenie zabudowy zagrodowej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niezabudowana 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5.690,00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5.690,00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sierpnia 2012r.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czerwca 2013 r. 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184,00</w:t>
            </w:r>
          </w:p>
        </w:tc>
      </w:tr>
    </w:tbl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Zał. nr 6 do Zarządzenia nr 45/2012 Burmistrza Pieniężna z 18.07.2012 r.</w:t>
      </w:r>
    </w:p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A46BC2" w:rsidRDefault="00A46BC2" w:rsidP="00A46BC2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46BC2" w:rsidTr="00F64927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Łajsy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Łajsy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 /00029738 /1</w:t>
            </w:r>
          </w:p>
        </w:tc>
      </w:tr>
      <w:tr w:rsidR="00A46BC2" w:rsidTr="00F64927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204/3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Pr="00E726DC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0,1911 ha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Nieruchomość gruntowa niezabudowana.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położona na terenie zabudowy zagrodowej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niezabudowana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10.700,00</w:t>
            </w:r>
          </w:p>
        </w:tc>
      </w:tr>
      <w:tr w:rsidR="00A46BC2" w:rsidTr="00F64927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10.700,00</w:t>
            </w:r>
          </w:p>
        </w:tc>
      </w:tr>
      <w:tr w:rsidR="00A46BC2" w:rsidTr="00F64927">
        <w:trPr>
          <w:cantSplit/>
        </w:trPr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3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/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 sierpnia 2012r.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czerwca 2013 r.  </w:t>
            </w:r>
          </w:p>
        </w:tc>
      </w:tr>
      <w:tr w:rsidR="00A46BC2" w:rsidTr="00F64927">
        <w:trPr>
          <w:cantSplit/>
        </w:trPr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C2" w:rsidRDefault="00A46BC2" w:rsidP="00F6492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184,00</w:t>
            </w:r>
          </w:p>
        </w:tc>
      </w:tr>
    </w:tbl>
    <w:p w:rsidR="00A46BC2" w:rsidRDefault="00A46BC2" w:rsidP="00A46BC2">
      <w:pPr>
        <w:ind w:left="4963"/>
        <w:jc w:val="both"/>
        <w:rPr>
          <w:sz w:val="24"/>
          <w:szCs w:val="24"/>
        </w:rPr>
      </w:pPr>
    </w:p>
    <w:p w:rsidR="00FE0258" w:rsidRDefault="00FE0258"/>
    <w:sectPr w:rsidR="00FE0258" w:rsidSect="00F25B5A">
      <w:footnotePr>
        <w:pos w:val="beneathText"/>
      </w:footnotePr>
      <w:pgSz w:w="11905" w:h="16837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A46BC2"/>
    <w:rsid w:val="00883B76"/>
    <w:rsid w:val="00A46BC2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BC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">
    <w:name w:val="WW-Zawartość tabeli1111111111111111111111111111111111"/>
    <w:uiPriority w:val="99"/>
    <w:rsid w:val="00A46BC2"/>
    <w:pPr>
      <w:suppressLineNumbers/>
      <w:jc w:val="both"/>
    </w:p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A46BC2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B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BC2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1182</Words>
  <Characters>7093</Characters>
  <Application>Microsoft Office Word</Application>
  <DocSecurity>0</DocSecurity>
  <Lines>59</Lines>
  <Paragraphs>16</Paragraphs>
  <ScaleCrop>false</ScaleCrop>
  <Company>Your Company Name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2012-07-18T10:50:00Z</dcterms:created>
  <dcterms:modified xsi:type="dcterms:W3CDTF">2012-07-18T10:52:00Z</dcterms:modified>
</cp:coreProperties>
</file>