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E8EFE" w14:textId="6F36648E" w:rsidR="003D0A44" w:rsidRPr="00257F1E" w:rsidRDefault="003D0A44" w:rsidP="003D0A44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7</w:t>
      </w:r>
    </w:p>
    <w:p w14:paraId="5E308FB2" w14:textId="77777777" w:rsidR="003D0A44" w:rsidRPr="00257F1E" w:rsidRDefault="003D0A44" w:rsidP="003D0A44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08058F50" w14:textId="77777777" w:rsidR="003D0A44" w:rsidRPr="00257F1E" w:rsidRDefault="003D0A44" w:rsidP="003D0A44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585795E6" w14:textId="77777777" w:rsidR="003D0A44" w:rsidRPr="00257F1E" w:rsidRDefault="003D0A44" w:rsidP="003D0A44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069F631C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6F50DBB4" w:rsidR="00A77B3E" w:rsidRPr="001C2AA7" w:rsidRDefault="00000000" w:rsidP="003D0A44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r w:rsidR="00CF3849" w:rsidRPr="00CF3849">
        <w:rPr>
          <w:sz w:val="24"/>
        </w:rPr>
        <w:t>Kajnity</w:t>
      </w:r>
      <w:r w:rsidR="00D633C2">
        <w:rPr>
          <w:color w:val="000000"/>
          <w:sz w:val="24"/>
          <w:u w:color="000000"/>
        </w:rPr>
        <w:t>.</w:t>
      </w:r>
    </w:p>
    <w:p w14:paraId="67EA798E" w14:textId="77777777" w:rsidR="00A77B3E" w:rsidRPr="001C2AA7" w:rsidRDefault="00000000" w:rsidP="003D0A44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000000" w:rsidP="003D0A44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000000" w:rsidP="003D0A44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000000" w:rsidP="003D0A44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512FC244" w:rsidR="00A77B3E" w:rsidRPr="001C2AA7" w:rsidRDefault="00000000" w:rsidP="003D0A44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CF3849" w:rsidRPr="00CF3849">
        <w:rPr>
          <w:sz w:val="24"/>
        </w:rPr>
        <w:t>Kajnity</w:t>
      </w:r>
      <w:r w:rsidRPr="001C2AA7">
        <w:rPr>
          <w:color w:val="000000"/>
          <w:sz w:val="24"/>
          <w:u w:color="000000"/>
        </w:rPr>
        <w:t>;</w:t>
      </w:r>
    </w:p>
    <w:p w14:paraId="31564DDF" w14:textId="1F0B7F45" w:rsidR="00A77B3E" w:rsidRPr="001C2AA7" w:rsidRDefault="00000000" w:rsidP="003D0A44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CF3849" w:rsidRPr="00CF3849">
        <w:rPr>
          <w:sz w:val="24"/>
        </w:rPr>
        <w:t>Kajnity</w:t>
      </w:r>
      <w:r w:rsidRPr="001C2AA7">
        <w:rPr>
          <w:color w:val="000000"/>
          <w:sz w:val="24"/>
          <w:u w:color="000000"/>
        </w:rPr>
        <w:t>;</w:t>
      </w:r>
    </w:p>
    <w:p w14:paraId="56F61FBA" w14:textId="7F7A947D" w:rsidR="00A77B3E" w:rsidRPr="001C2AA7" w:rsidRDefault="00000000" w:rsidP="003D0A44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CF3849" w:rsidRPr="00CF3849">
        <w:rPr>
          <w:sz w:val="24"/>
        </w:rPr>
        <w:t>Kajnity</w:t>
      </w:r>
      <w:r w:rsidRPr="001C2AA7">
        <w:rPr>
          <w:color w:val="000000"/>
          <w:sz w:val="24"/>
          <w:u w:color="000000"/>
        </w:rPr>
        <w:t>;</w:t>
      </w:r>
    </w:p>
    <w:p w14:paraId="3B2C19DB" w14:textId="27886E97" w:rsidR="00A77B3E" w:rsidRPr="001C2AA7" w:rsidRDefault="00000000" w:rsidP="003D0A44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 xml:space="preserve">Sołtys - organ wykonawczy Sołectwa </w:t>
      </w:r>
      <w:r w:rsidR="00CF3849" w:rsidRPr="00CF3849">
        <w:rPr>
          <w:sz w:val="24"/>
        </w:rPr>
        <w:t>Kajnity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000000" w:rsidP="003D0A44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000000" w:rsidP="003D0A44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000000" w:rsidP="003D0A44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000000" w:rsidP="003D0A44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000000" w:rsidP="003D0A44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000000" w:rsidP="003D0A44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000000" w:rsidP="003D0A44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2878C387" w:rsidR="00A77B3E" w:rsidRPr="001C2AA7" w:rsidRDefault="00000000" w:rsidP="003D0A44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4. </w:t>
      </w:r>
      <w:r w:rsidRPr="001C2AA7">
        <w:rPr>
          <w:color w:val="000000"/>
          <w:sz w:val="24"/>
          <w:u w:color="000000"/>
        </w:rPr>
        <w:t xml:space="preserve">Sołectwo </w:t>
      </w:r>
      <w:r w:rsidR="00C44773">
        <w:rPr>
          <w:color w:val="000000"/>
          <w:sz w:val="24"/>
          <w:u w:color="000000"/>
        </w:rPr>
        <w:t>Kajnity</w:t>
      </w:r>
      <w:r w:rsidRPr="001C2AA7">
        <w:rPr>
          <w:color w:val="000000"/>
          <w:sz w:val="24"/>
          <w:u w:color="000000"/>
        </w:rPr>
        <w:t xml:space="preserve">, zwane dalej sołectwem jest jednostką pomocniczą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 xml:space="preserve"> i stanowi wspólnotę samorządową osób zamieszkujących jego obszar.</w:t>
      </w:r>
    </w:p>
    <w:p w14:paraId="7885E078" w14:textId="3E84A767" w:rsidR="00A77B3E" w:rsidRPr="00CF3849" w:rsidRDefault="00000000" w:rsidP="003D0A44">
      <w:pPr>
        <w:keepLines/>
        <w:spacing w:before="120" w:after="120"/>
        <w:rPr>
          <w:color w:val="000000"/>
          <w:sz w:val="24"/>
          <w:u w:color="000000"/>
        </w:rPr>
      </w:pPr>
      <w:r w:rsidRPr="00CF3849">
        <w:rPr>
          <w:b/>
          <w:sz w:val="24"/>
        </w:rPr>
        <w:t>§ 5. </w:t>
      </w:r>
      <w:r w:rsidRPr="00CF3849">
        <w:rPr>
          <w:color w:val="000000"/>
          <w:sz w:val="24"/>
          <w:u w:color="000000"/>
        </w:rPr>
        <w:t xml:space="preserve">Teren działania Sołectwa obejmuje </w:t>
      </w:r>
      <w:r w:rsidR="006C5DCA" w:rsidRPr="00CF3849">
        <w:rPr>
          <w:color w:val="000000"/>
          <w:sz w:val="24"/>
          <w:u w:color="000000"/>
        </w:rPr>
        <w:t>miejscowoś</w:t>
      </w:r>
      <w:r w:rsidR="00CF3849" w:rsidRPr="00CF3849">
        <w:rPr>
          <w:color w:val="000000"/>
          <w:sz w:val="24"/>
          <w:u w:color="000000"/>
        </w:rPr>
        <w:t>ci</w:t>
      </w:r>
      <w:r w:rsidR="00871A95" w:rsidRPr="00CF3849">
        <w:rPr>
          <w:color w:val="000000"/>
          <w:sz w:val="24"/>
          <w:u w:color="000000"/>
        </w:rPr>
        <w:t xml:space="preserve"> </w:t>
      </w:r>
      <w:bookmarkStart w:id="0" w:name="_Hlk169092415"/>
      <w:r w:rsidR="00CF3849" w:rsidRPr="00CF3849">
        <w:rPr>
          <w:sz w:val="24"/>
        </w:rPr>
        <w:t>Kajnity</w:t>
      </w:r>
      <w:bookmarkEnd w:id="0"/>
      <w:r w:rsidR="00CF3849" w:rsidRPr="00CF3849">
        <w:rPr>
          <w:sz w:val="24"/>
        </w:rPr>
        <w:t xml:space="preserve">, </w:t>
      </w:r>
      <w:r w:rsidR="00CF3849" w:rsidRPr="00CF3849">
        <w:rPr>
          <w:rStyle w:val="Uwydatnienie"/>
          <w:i w:val="0"/>
          <w:iCs w:val="0"/>
          <w:sz w:val="24"/>
        </w:rPr>
        <w:t>Pieniężno</w:t>
      </w:r>
      <w:r w:rsidR="00CF3849" w:rsidRPr="00CF3849">
        <w:rPr>
          <w:i/>
          <w:iCs/>
          <w:sz w:val="24"/>
        </w:rPr>
        <w:t xml:space="preserve"> </w:t>
      </w:r>
      <w:r w:rsidR="00CF3849" w:rsidRPr="00CF3849">
        <w:rPr>
          <w:sz w:val="24"/>
        </w:rPr>
        <w:t>Pierwsze</w:t>
      </w:r>
      <w:r w:rsidR="00CF3849">
        <w:rPr>
          <w:sz w:val="24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000000" w:rsidP="003D0A44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000000" w:rsidP="003D0A44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000000" w:rsidP="003D0A44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000000" w:rsidP="003D0A44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000000" w:rsidP="003D0A44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00000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6204F1D1" w14:textId="77777777" w:rsidR="00B73A65" w:rsidRDefault="00B73A65" w:rsidP="00B73A65">
      <w:pPr>
        <w:keepLines/>
        <w:spacing w:before="120" w:after="120"/>
        <w:ind w:firstLine="340"/>
        <w:rPr>
          <w:color w:val="000000"/>
          <w:sz w:val="24"/>
        </w:rPr>
      </w:pPr>
      <w:r>
        <w:rPr>
          <w:b/>
          <w:sz w:val="24"/>
        </w:rPr>
        <w:t>§ 31. </w:t>
      </w:r>
      <w:r>
        <w:rPr>
          <w:color w:val="000000"/>
          <w:sz w:val="24"/>
        </w:rPr>
        <w:t>Zmiany do statutu sołectwa dokonuje Rada Miejska w trybie i na zasadach przewidzianych do jego uchwalenia.</w:t>
      </w:r>
    </w:p>
    <w:p w14:paraId="72BDDCF4" w14:textId="77777777" w:rsidR="00B73A65" w:rsidRDefault="00B73A65" w:rsidP="00B73A65">
      <w:pPr>
        <w:keepLines/>
        <w:spacing w:before="120" w:after="120"/>
        <w:ind w:firstLine="340"/>
        <w:rPr>
          <w:bCs/>
          <w:color w:val="000000"/>
          <w:sz w:val="24"/>
        </w:rPr>
      </w:pPr>
      <w:r>
        <w:rPr>
          <w:b/>
          <w:color w:val="000000"/>
          <w:sz w:val="24"/>
        </w:rPr>
        <w:t>§ 32.</w:t>
      </w:r>
      <w:r>
        <w:rPr>
          <w:bCs/>
          <w:color w:val="000000"/>
          <w:sz w:val="24"/>
        </w:rPr>
        <w:t xml:space="preserve"> Wybory Sołtysa i Rad Sołeckich w 2024 r. Burmistrz zarządza w terminie 4 miesięcy od wyborów samorządowych. </w:t>
      </w:r>
    </w:p>
    <w:p w14:paraId="74F7B212" w14:textId="0594F719" w:rsidR="00A77B3E" w:rsidRPr="001C2AA7" w:rsidRDefault="00A77B3E">
      <w:pPr>
        <w:rPr>
          <w:color w:val="000000"/>
          <w:sz w:val="24"/>
          <w:u w:color="000000"/>
        </w:rPr>
      </w:pP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A1F2" w14:textId="77777777" w:rsidR="00DB7791" w:rsidRDefault="00DB7791">
      <w:r>
        <w:separator/>
      </w:r>
    </w:p>
  </w:endnote>
  <w:endnote w:type="continuationSeparator" w:id="0">
    <w:p w14:paraId="75FC0098" w14:textId="77777777" w:rsidR="00DB7791" w:rsidRDefault="00DB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CB9DC" w14:textId="77777777" w:rsidR="00DB7791" w:rsidRDefault="00DB7791">
      <w:r>
        <w:separator/>
      </w:r>
    </w:p>
  </w:footnote>
  <w:footnote w:type="continuationSeparator" w:id="0">
    <w:p w14:paraId="010344EE" w14:textId="77777777" w:rsidR="00DB7791" w:rsidRDefault="00DB7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2B"/>
    <w:rsid w:val="00036D93"/>
    <w:rsid w:val="000638FC"/>
    <w:rsid w:val="00087899"/>
    <w:rsid w:val="000B08F5"/>
    <w:rsid w:val="000F6283"/>
    <w:rsid w:val="00101B3A"/>
    <w:rsid w:val="00137A92"/>
    <w:rsid w:val="00165505"/>
    <w:rsid w:val="001928DE"/>
    <w:rsid w:val="001B05D4"/>
    <w:rsid w:val="001C2AA7"/>
    <w:rsid w:val="0026495A"/>
    <w:rsid w:val="00292546"/>
    <w:rsid w:val="00380205"/>
    <w:rsid w:val="003D0A44"/>
    <w:rsid w:val="0044614C"/>
    <w:rsid w:val="0045137F"/>
    <w:rsid w:val="004C5A8B"/>
    <w:rsid w:val="004D51E0"/>
    <w:rsid w:val="004D599B"/>
    <w:rsid w:val="004E269B"/>
    <w:rsid w:val="004F3F21"/>
    <w:rsid w:val="005273B6"/>
    <w:rsid w:val="005A31CE"/>
    <w:rsid w:val="005A37F8"/>
    <w:rsid w:val="00610234"/>
    <w:rsid w:val="00642D62"/>
    <w:rsid w:val="00686B73"/>
    <w:rsid w:val="006C160F"/>
    <w:rsid w:val="006C5DCA"/>
    <w:rsid w:val="006E4E63"/>
    <w:rsid w:val="006F38C4"/>
    <w:rsid w:val="006F462D"/>
    <w:rsid w:val="00704A26"/>
    <w:rsid w:val="007A6431"/>
    <w:rsid w:val="007B0969"/>
    <w:rsid w:val="007C6948"/>
    <w:rsid w:val="007F4839"/>
    <w:rsid w:val="00820913"/>
    <w:rsid w:val="00871A95"/>
    <w:rsid w:val="008835AC"/>
    <w:rsid w:val="00916C9C"/>
    <w:rsid w:val="009C4685"/>
    <w:rsid w:val="009E7F85"/>
    <w:rsid w:val="00A77B3E"/>
    <w:rsid w:val="00AA0E95"/>
    <w:rsid w:val="00B310E2"/>
    <w:rsid w:val="00B60E34"/>
    <w:rsid w:val="00B73A65"/>
    <w:rsid w:val="00BC758B"/>
    <w:rsid w:val="00BD5BD2"/>
    <w:rsid w:val="00C44773"/>
    <w:rsid w:val="00C608A0"/>
    <w:rsid w:val="00C6156C"/>
    <w:rsid w:val="00C67CE1"/>
    <w:rsid w:val="00CA2A55"/>
    <w:rsid w:val="00CC2792"/>
    <w:rsid w:val="00CF3849"/>
    <w:rsid w:val="00D10480"/>
    <w:rsid w:val="00D633C2"/>
    <w:rsid w:val="00D93178"/>
    <w:rsid w:val="00DA2994"/>
    <w:rsid w:val="00DB7791"/>
    <w:rsid w:val="00DF6C96"/>
    <w:rsid w:val="00E2080D"/>
    <w:rsid w:val="00E91BEC"/>
    <w:rsid w:val="00E9233F"/>
    <w:rsid w:val="00EC056C"/>
    <w:rsid w:val="00EE796A"/>
    <w:rsid w:val="00F21511"/>
    <w:rsid w:val="00F3132D"/>
    <w:rsid w:val="00F53EE1"/>
    <w:rsid w:val="00F840A1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F3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48483-03C3-4D45-B28F-332283F7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2701</Words>
  <Characters>16206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7</cp:revision>
  <cp:lastPrinted>2023-02-17T09:57:00Z</cp:lastPrinted>
  <dcterms:created xsi:type="dcterms:W3CDTF">2024-06-12T11:46:00Z</dcterms:created>
  <dcterms:modified xsi:type="dcterms:W3CDTF">2024-07-04T08:39:00Z</dcterms:modified>
  <cp:category>Akt prawny</cp:category>
</cp:coreProperties>
</file>